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default" w:ascii="宋体" w:eastAsia="宋体"/>
          <w:b/>
          <w:sz w:val="72"/>
          <w:szCs w:val="72"/>
          <w:lang w:val="en-US" w:eastAsia="zh-CN"/>
        </w:rPr>
      </w:pPr>
      <w:r>
        <w:rPr>
          <w:rFonts w:hint="eastAsia" w:ascii="宋体" w:hAnsi="宋体"/>
          <w:b/>
          <w:sz w:val="72"/>
          <w:szCs w:val="72"/>
          <w:lang w:val="en-US" w:eastAsia="zh-CN"/>
        </w:rPr>
        <w:t>梨树县殡葬管理所</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snapToGrid w:val="0"/>
        <w:spacing w:line="520" w:lineRule="exact"/>
        <w:ind w:firstLine="640" w:firstLineChars="200"/>
        <w:rPr>
          <w:rFonts w:hint="eastAsia" w:ascii="仿宋" w:hAnsi="仿宋" w:eastAsia="仿宋"/>
          <w:sz w:val="32"/>
        </w:rPr>
      </w:pPr>
      <w:r>
        <w:rPr>
          <w:rFonts w:hint="eastAsia" w:ascii="仿宋" w:hAnsi="仿宋" w:eastAsia="仿宋"/>
          <w:sz w:val="32"/>
        </w:rPr>
        <w:t xml:space="preserve">   </w:t>
      </w:r>
      <w:r>
        <w:rPr>
          <w:rFonts w:hint="eastAsia" w:ascii="仿宋" w:hAnsi="仿宋" w:eastAsia="仿宋"/>
          <w:sz w:val="32"/>
          <w:lang w:val="en-US" w:eastAsia="zh-CN"/>
        </w:rPr>
        <w:t>主要职责：</w:t>
      </w:r>
      <w:r>
        <w:rPr>
          <w:rFonts w:hint="eastAsia" w:ascii="仿宋_GB2312" w:hAnsi="仿宋" w:eastAsia="仿宋_GB2312"/>
          <w:sz w:val="32"/>
          <w:szCs w:val="32"/>
          <w:lang w:val="en-US" w:eastAsia="zh-CN"/>
        </w:rPr>
        <w:t>管理殡葬事宜，推进殡葬改革，殡葬改革与殡葬法规宣传殡葬执法检查，殡葬职业教育，殡葬岗位培训。</w:t>
      </w:r>
    </w:p>
    <w:p>
      <w:pPr>
        <w:ind w:firstLine="640" w:firstLineChars="200"/>
        <w:rPr>
          <w:rFonts w:hint="eastAsia" w:ascii="仿宋" w:hAnsi="仿宋" w:eastAsia="仿宋"/>
          <w:sz w:val="32"/>
        </w:rPr>
      </w:pPr>
      <w:r>
        <w:rPr>
          <w:sz w:val="32"/>
          <w:szCs w:val="32"/>
        </w:rPr>
        <w:t xml:space="preserve"> </w:t>
      </w:r>
      <w:r>
        <w:rPr>
          <w:rFonts w:hint="eastAsia"/>
          <w:sz w:val="32"/>
          <w:szCs w:val="32"/>
        </w:rPr>
        <w:t>二、机构设置</w:t>
      </w:r>
    </w:p>
    <w:p>
      <w:pPr>
        <w:ind w:firstLine="640" w:firstLineChars="200"/>
        <w:rPr>
          <w:rFonts w:hint="eastAsia" w:ascii="方正小标宋简体" w:hAnsi="方正小标宋简体" w:eastAsia="方正小标宋简体"/>
          <w:sz w:val="44"/>
        </w:rPr>
      </w:pPr>
      <w:r>
        <w:rPr>
          <w:rFonts w:hint="eastAsia" w:ascii="仿宋" w:hAnsi="仿宋" w:eastAsia="仿宋"/>
          <w:sz w:val="32"/>
        </w:rPr>
        <w:t>根据上述职责，</w:t>
      </w:r>
      <w:r>
        <w:rPr>
          <w:rFonts w:ascii="宋体" w:hAnsi="宋体"/>
          <w:sz w:val="32"/>
        </w:rPr>
        <w:t>202</w:t>
      </w:r>
      <w:r>
        <w:rPr>
          <w:rFonts w:hint="eastAsia" w:ascii="宋体" w:hAnsi="宋体"/>
          <w:sz w:val="32"/>
          <w:lang w:val="en-US" w:eastAsia="zh-CN"/>
        </w:rPr>
        <w:t>1</w:t>
      </w:r>
      <w:r>
        <w:rPr>
          <w:rFonts w:hint="eastAsia" w:ascii="仿宋" w:hAnsi="仿宋" w:eastAsia="仿宋"/>
          <w:sz w:val="32"/>
        </w:rPr>
        <w:t>年度部门</w:t>
      </w:r>
      <w:r>
        <w:rPr>
          <w:rFonts w:hint="eastAsia" w:ascii="仿宋" w:hAnsi="仿宋" w:eastAsia="仿宋"/>
          <w:sz w:val="32"/>
          <w:lang w:val="en-US" w:eastAsia="zh-CN"/>
        </w:rPr>
        <w:t>预算</w:t>
      </w:r>
      <w:r>
        <w:rPr>
          <w:rFonts w:hint="eastAsia" w:ascii="仿宋" w:hAnsi="仿宋" w:eastAsia="仿宋"/>
          <w:sz w:val="32"/>
        </w:rPr>
        <w:t>编制范围的单位</w:t>
      </w:r>
      <w:r>
        <w:rPr>
          <w:rFonts w:hint="eastAsia" w:ascii="仿宋" w:hAnsi="仿宋" w:eastAsia="仿宋"/>
          <w:sz w:val="32"/>
          <w:lang w:val="en-US" w:eastAsia="zh-CN"/>
        </w:rPr>
        <w:t>是梨树县殡葬管理所。</w:t>
      </w:r>
    </w:p>
    <w:p>
      <w:pPr>
        <w:rPr>
          <w:sz w:val="32"/>
          <w:szCs w:val="32"/>
        </w:rPr>
      </w:pPr>
      <w:r>
        <w:rPr>
          <w:sz w:val="32"/>
          <w:szCs w:val="32"/>
        </w:rPr>
        <w:t xml:space="preserve">   </w:t>
      </w:r>
      <w:r>
        <w:t xml:space="preserve">    </w:t>
      </w:r>
    </w:p>
    <w:p>
      <w:pPr>
        <w:tabs>
          <w:tab w:val="left" w:pos="690"/>
        </w:tabs>
        <w:rPr>
          <w:sz w:val="32"/>
          <w:szCs w:val="32"/>
        </w:rPr>
      </w:pPr>
      <w:r>
        <w:rPr>
          <w:sz w:val="32"/>
          <w:szCs w:val="32"/>
        </w:rPr>
        <w:tab/>
      </w:r>
    </w:p>
    <w:p>
      <w:pPr>
        <w:tabs>
          <w:tab w:val="left" w:pos="690"/>
        </w:tabs>
        <w:rPr>
          <w:sz w:val="32"/>
          <w:szCs w:val="32"/>
        </w:rPr>
      </w:pPr>
    </w:p>
    <w:p>
      <w:pPr>
        <w:tabs>
          <w:tab w:val="left" w:pos="690"/>
        </w:tabs>
        <w:rPr>
          <w:sz w:val="32"/>
          <w:szCs w:val="32"/>
        </w:rPr>
      </w:pPr>
    </w:p>
    <w:p>
      <w:pPr>
        <w:tabs>
          <w:tab w:val="left" w:pos="690"/>
        </w:tabs>
        <w:rPr>
          <w:sz w:val="32"/>
          <w:szCs w:val="32"/>
        </w:rPr>
      </w:pPr>
    </w:p>
    <w:p>
      <w:pPr>
        <w:tabs>
          <w:tab w:val="left" w:pos="690"/>
        </w:tabs>
        <w:rPr>
          <w:sz w:val="32"/>
          <w:szCs w:val="32"/>
        </w:rPr>
      </w:pPr>
    </w:p>
    <w:p>
      <w:pPr>
        <w:tabs>
          <w:tab w:val="left" w:pos="690"/>
        </w:tabs>
        <w:rPr>
          <w:sz w:val="32"/>
          <w:szCs w:val="32"/>
        </w:rPr>
      </w:pPr>
    </w:p>
    <w:p>
      <w:pPr>
        <w:tabs>
          <w:tab w:val="left" w:pos="690"/>
        </w:tabs>
        <w:rPr>
          <w:sz w:val="32"/>
          <w:szCs w:val="32"/>
        </w:rPr>
      </w:pPr>
    </w:p>
    <w:p>
      <w:pPr>
        <w:tabs>
          <w:tab w:val="left" w:pos="690"/>
        </w:tabs>
        <w:rPr>
          <w:sz w:val="32"/>
          <w:szCs w:val="32"/>
        </w:rPr>
      </w:pPr>
    </w:p>
    <w:p>
      <w:pPr>
        <w:tabs>
          <w:tab w:val="left" w:pos="690"/>
        </w:tabs>
        <w:rPr>
          <w:sz w:val="32"/>
          <w:szCs w:val="32"/>
        </w:rPr>
      </w:pPr>
    </w:p>
    <w:p>
      <w:pPr>
        <w:tabs>
          <w:tab w:val="left" w:pos="690"/>
        </w:tabs>
        <w:rPr>
          <w:sz w:val="32"/>
          <w:szCs w:val="32"/>
        </w:rPr>
      </w:pPr>
    </w:p>
    <w:p>
      <w:pPr>
        <w:tabs>
          <w:tab w:val="left" w:pos="690"/>
        </w:tabs>
        <w:rPr>
          <w:sz w:val="32"/>
          <w:szCs w:val="32"/>
        </w:rPr>
      </w:pPr>
    </w:p>
    <w:p>
      <w:pPr>
        <w:tabs>
          <w:tab w:val="left" w:pos="690"/>
        </w:tabs>
        <w:rPr>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eastAsia" w:ascii="宋体" w:eastAsia="宋体"/>
          <w:color w:val="auto"/>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w:t>
      </w:r>
      <w:r>
        <w:rPr>
          <w:rFonts w:hint="eastAsia" w:ascii="宋体"/>
          <w:color w:val="auto"/>
          <w:sz w:val="32"/>
          <w:szCs w:val="32"/>
        </w:rPr>
        <w:t>出等。20</w:t>
      </w:r>
      <w:r>
        <w:rPr>
          <w:rFonts w:hint="eastAsia" w:ascii="宋体"/>
          <w:color w:val="auto"/>
          <w:sz w:val="32"/>
          <w:szCs w:val="32"/>
          <w:lang w:val="en-US" w:eastAsia="zh-CN"/>
        </w:rPr>
        <w:t>21</w:t>
      </w:r>
      <w:r>
        <w:rPr>
          <w:rFonts w:hint="eastAsia" w:ascii="宋体"/>
          <w:color w:val="auto"/>
          <w:sz w:val="32"/>
          <w:szCs w:val="32"/>
        </w:rPr>
        <w:t>年收支总预算</w:t>
      </w:r>
      <w:r>
        <w:rPr>
          <w:rFonts w:hint="eastAsia" w:ascii="宋体"/>
          <w:color w:val="auto"/>
          <w:sz w:val="32"/>
          <w:szCs w:val="32"/>
          <w:lang w:val="en-US" w:eastAsia="zh-CN"/>
        </w:rPr>
        <w:t>10</w:t>
      </w:r>
      <w:r>
        <w:rPr>
          <w:rFonts w:hint="eastAsia" w:ascii="宋体"/>
          <w:color w:val="auto"/>
          <w:sz w:val="32"/>
          <w:szCs w:val="32"/>
        </w:rPr>
        <w:t>万元，比</w:t>
      </w:r>
      <w:r>
        <w:rPr>
          <w:rFonts w:hint="eastAsia" w:ascii="宋体"/>
          <w:color w:val="auto"/>
          <w:sz w:val="32"/>
          <w:szCs w:val="32"/>
          <w:lang w:eastAsia="zh-CN"/>
        </w:rPr>
        <w:t>2021</w:t>
      </w:r>
      <w:r>
        <w:rPr>
          <w:rFonts w:hint="eastAsia" w:ascii="宋体"/>
          <w:color w:val="auto"/>
          <w:sz w:val="32"/>
          <w:szCs w:val="32"/>
        </w:rPr>
        <w:t>年预算增加（减少）</w:t>
      </w:r>
      <w:r>
        <w:rPr>
          <w:rFonts w:hint="eastAsia" w:ascii="宋体"/>
          <w:color w:val="auto"/>
          <w:sz w:val="32"/>
          <w:szCs w:val="32"/>
          <w:lang w:val="en-US" w:eastAsia="zh-CN"/>
        </w:rPr>
        <w:t>0</w:t>
      </w:r>
      <w:r>
        <w:rPr>
          <w:rFonts w:hint="eastAsia" w:ascii="宋体"/>
          <w:color w:val="auto"/>
          <w:sz w:val="32"/>
          <w:szCs w:val="32"/>
        </w:rPr>
        <w:t>万元，主要原因是</w:t>
      </w:r>
      <w:r>
        <w:rPr>
          <w:rFonts w:hint="eastAsia" w:ascii="宋体"/>
          <w:color w:val="auto"/>
          <w:sz w:val="32"/>
          <w:szCs w:val="32"/>
          <w:lang w:val="en-US" w:eastAsia="zh-CN"/>
        </w:rPr>
        <w:t>主要用于</w:t>
      </w:r>
      <w:r>
        <w:rPr>
          <w:rFonts w:hint="eastAsia" w:ascii="宋体"/>
          <w:sz w:val="32"/>
          <w:szCs w:val="32"/>
        </w:rPr>
        <w:t>抚恤在乡复员、退伍军人生活补助</w:t>
      </w:r>
      <w:r>
        <w:rPr>
          <w:rFonts w:hint="eastAsia" w:ascii="宋体"/>
          <w:sz w:val="32"/>
          <w:szCs w:val="32"/>
          <w:lang w:eastAsia="zh-CN"/>
        </w:rPr>
        <w:t>。</w:t>
      </w:r>
    </w:p>
    <w:p>
      <w:pPr>
        <w:tabs>
          <w:tab w:val="left" w:pos="1200"/>
          <w:tab w:val="right" w:pos="8306"/>
        </w:tabs>
        <w:ind w:firstLine="630"/>
        <w:jc w:val="left"/>
        <w:rPr>
          <w:rFonts w:ascii="宋体"/>
          <w:color w:val="auto"/>
          <w:sz w:val="32"/>
          <w:szCs w:val="32"/>
        </w:rPr>
      </w:pPr>
      <w:r>
        <w:rPr>
          <w:rFonts w:hint="eastAsia" w:ascii="宋体"/>
          <w:color w:val="auto"/>
          <w:sz w:val="32"/>
          <w:szCs w:val="32"/>
        </w:rPr>
        <w:t>二、20</w:t>
      </w:r>
      <w:r>
        <w:rPr>
          <w:rFonts w:hint="eastAsia" w:ascii="宋体"/>
          <w:color w:val="auto"/>
          <w:sz w:val="32"/>
          <w:szCs w:val="32"/>
          <w:lang w:val="en-US" w:eastAsia="zh-CN"/>
        </w:rPr>
        <w:t>21</w:t>
      </w:r>
      <w:r>
        <w:rPr>
          <w:rFonts w:hint="eastAsia" w:ascii="宋体"/>
          <w:color w:val="auto"/>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10</w:t>
      </w:r>
      <w:r>
        <w:rPr>
          <w:rFonts w:hint="eastAsia" w:ascii="宋体"/>
          <w:sz w:val="32"/>
          <w:szCs w:val="32"/>
        </w:rPr>
        <w:t>万元，其中：本年收入</w:t>
      </w:r>
      <w:r>
        <w:rPr>
          <w:rFonts w:hint="eastAsia" w:ascii="宋体"/>
          <w:sz w:val="32"/>
          <w:szCs w:val="32"/>
          <w:lang w:val="en-US" w:eastAsia="zh-CN"/>
        </w:rPr>
        <w:t>10</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10</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10</w:t>
      </w:r>
      <w:r>
        <w:rPr>
          <w:rFonts w:hint="eastAsia" w:ascii="宋体"/>
          <w:sz w:val="32"/>
          <w:szCs w:val="32"/>
        </w:rPr>
        <w:t xml:space="preserve">万元，其中：项目支出 </w:t>
      </w:r>
      <w:r>
        <w:rPr>
          <w:rFonts w:hint="eastAsia" w:ascii="宋体"/>
          <w:sz w:val="32"/>
          <w:szCs w:val="32"/>
          <w:lang w:val="en-US" w:eastAsia="zh-CN"/>
        </w:rPr>
        <w:t>10</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10</w:t>
      </w:r>
      <w:r>
        <w:rPr>
          <w:rFonts w:hint="eastAsia" w:ascii="宋体"/>
          <w:sz w:val="32"/>
          <w:szCs w:val="32"/>
        </w:rPr>
        <w:t>万元，其中：一般公共预算拨款</w:t>
      </w:r>
      <w:r>
        <w:rPr>
          <w:rFonts w:hint="eastAsia" w:ascii="宋体"/>
          <w:sz w:val="32"/>
          <w:szCs w:val="32"/>
          <w:lang w:val="en-US" w:eastAsia="zh-CN"/>
        </w:rPr>
        <w:t>10</w:t>
      </w:r>
      <w:r>
        <w:rPr>
          <w:rFonts w:hint="eastAsia" w:ascii="宋体"/>
          <w:sz w:val="32"/>
          <w:szCs w:val="32"/>
        </w:rPr>
        <w:t>万元。支出包括：（社会保障和就业支出</w:t>
      </w:r>
      <w:r>
        <w:rPr>
          <w:rFonts w:hint="eastAsia" w:ascii="宋体"/>
          <w:sz w:val="32"/>
          <w:szCs w:val="32"/>
          <w:lang w:val="en-US" w:eastAsia="zh-CN"/>
        </w:rPr>
        <w:t>10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10</w:t>
      </w:r>
      <w:r>
        <w:rPr>
          <w:rFonts w:hint="eastAsia" w:ascii="宋体"/>
          <w:sz w:val="32"/>
          <w:szCs w:val="32"/>
        </w:rPr>
        <w:t>万元，其中：项目支出</w:t>
      </w:r>
      <w:r>
        <w:rPr>
          <w:rFonts w:hint="eastAsia" w:ascii="宋体"/>
          <w:sz w:val="32"/>
          <w:szCs w:val="32"/>
          <w:lang w:val="en-US" w:eastAsia="zh-CN"/>
        </w:rPr>
        <w:t>10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w:t>
      </w:r>
      <w:r>
        <w:rPr>
          <w:rFonts w:hint="eastAsia" w:ascii="宋体"/>
          <w:sz w:val="32"/>
          <w:szCs w:val="32"/>
          <w:lang w:eastAsia="zh-CN"/>
        </w:rPr>
        <w:t>（</w:t>
      </w:r>
      <w:r>
        <w:rPr>
          <w:rFonts w:hint="eastAsia" w:ascii="宋体"/>
          <w:sz w:val="32"/>
          <w:szCs w:val="32"/>
        </w:rPr>
        <w:t>208社会保障和就业支出20808抚恤2080803在乡复员、退伍军人生活补助</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lang w:val="en-US" w:eastAsia="zh-CN"/>
        </w:rPr>
        <w:t>本单位无基本支出。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val="en-US" w:eastAsia="zh-CN"/>
        </w:rPr>
        <w:t>本单位无三公经费。</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w:t>
      </w:r>
      <w:r>
        <w:rPr>
          <w:rFonts w:hint="eastAsia" w:ascii="宋体"/>
          <w:sz w:val="32"/>
          <w:szCs w:val="32"/>
          <w:lang w:val="en-US" w:eastAsia="zh-CN"/>
        </w:rPr>
        <w:t>单位</w:t>
      </w:r>
      <w:r>
        <w:rPr>
          <w:rFonts w:hint="eastAsia" w:ascii="宋体"/>
          <w:sz w:val="32"/>
          <w:szCs w:val="32"/>
        </w:rPr>
        <w:t>无政府性基金预算拨款。</w:t>
      </w:r>
      <w:bookmarkStart w:id="0" w:name="_GoBack"/>
      <w:bookmarkEnd w:id="0"/>
    </w:p>
    <w:p>
      <w:pPr>
        <w:rPr>
          <w:rFonts w:ascii="宋体"/>
          <w:sz w:val="32"/>
          <w:szCs w:val="32"/>
        </w:rPr>
      </w:pPr>
      <w:r>
        <w:rPr>
          <w:rFonts w:hint="eastAsia" w:ascii="宋体"/>
          <w:sz w:val="32"/>
          <w:szCs w:val="32"/>
        </w:rPr>
        <w:t xml:space="preserve">   </w:t>
      </w:r>
    </w:p>
    <w:p>
      <w:pPr>
        <w:ind w:firstLine="645"/>
        <w:rPr>
          <w:rFonts w:ascii="宋体"/>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k5ZmM4YTAxM2Q0ZmYzYWJkMWI1MGMyYjc0NTY1NjMifQ=="/>
  </w:docVars>
  <w:rsids>
    <w:rsidRoot w:val="00000000"/>
    <w:rsid w:val="099219B1"/>
    <w:rsid w:val="1D5759F2"/>
    <w:rsid w:val="4133669B"/>
    <w:rsid w:val="52E82D40"/>
    <w:rsid w:val="7C474F34"/>
    <w:rsid w:val="7D23590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2101</Words>
  <Characters>2184</Characters>
  <Lines>25</Lines>
  <Paragraphs>7</Paragraphs>
  <TotalTime>0</TotalTime>
  <ScaleCrop>false</ScaleCrop>
  <LinksUpToDate>false</LinksUpToDate>
  <CharactersWithSpaces>2559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阳光女孩</cp:lastModifiedBy>
  <cp:lastPrinted>2019-04-13T09:33:00Z</cp:lastPrinted>
  <dcterms:modified xsi:type="dcterms:W3CDTF">2022-09-05T07:01:40Z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D7FD471E571E4BCC80D9DF7291BC5BF7</vt:lpwstr>
  </property>
</Properties>
</file>